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C2CA2" w14:textId="4586538A" w:rsidR="00315090" w:rsidRPr="00BE26CC" w:rsidRDefault="00BE26CC" w:rsidP="00C250F9">
      <w:pPr>
        <w:jc w:val="center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 xml:space="preserve">Comparison of progression free survival </w:t>
      </w:r>
      <w:r w:rsidR="002261E3">
        <w:rPr>
          <w:rFonts w:asciiTheme="majorHAnsi" w:hAnsiTheme="majorHAnsi"/>
          <w:b/>
          <w:lang w:val="en-US"/>
        </w:rPr>
        <w:t xml:space="preserve">(PFS) </w:t>
      </w:r>
      <w:r>
        <w:rPr>
          <w:rFonts w:asciiTheme="majorHAnsi" w:hAnsiTheme="majorHAnsi"/>
          <w:b/>
          <w:lang w:val="en-US"/>
        </w:rPr>
        <w:t xml:space="preserve">of patients </w:t>
      </w:r>
      <w:r w:rsidR="00513511">
        <w:rPr>
          <w:rFonts w:asciiTheme="majorHAnsi" w:hAnsiTheme="majorHAnsi"/>
          <w:b/>
          <w:lang w:val="en-US"/>
        </w:rPr>
        <w:t xml:space="preserve">with lung cancer </w:t>
      </w:r>
      <w:r>
        <w:rPr>
          <w:rFonts w:asciiTheme="majorHAnsi" w:hAnsiTheme="majorHAnsi"/>
          <w:b/>
          <w:lang w:val="en-US"/>
        </w:rPr>
        <w:t xml:space="preserve">treated with immuno-oncology (IO) drugs under real-world-conditions in oncological practices </w:t>
      </w:r>
      <w:r w:rsidR="002261E3">
        <w:rPr>
          <w:rFonts w:asciiTheme="majorHAnsi" w:hAnsiTheme="majorHAnsi"/>
          <w:b/>
          <w:lang w:val="en-US"/>
        </w:rPr>
        <w:t xml:space="preserve">with </w:t>
      </w:r>
      <w:r w:rsidR="001A0534">
        <w:rPr>
          <w:rFonts w:asciiTheme="majorHAnsi" w:hAnsiTheme="majorHAnsi"/>
          <w:b/>
          <w:lang w:val="en-US"/>
        </w:rPr>
        <w:t xml:space="preserve">published </w:t>
      </w:r>
      <w:r>
        <w:rPr>
          <w:rFonts w:asciiTheme="majorHAnsi" w:hAnsiTheme="majorHAnsi"/>
          <w:b/>
          <w:lang w:val="en-US"/>
        </w:rPr>
        <w:t xml:space="preserve">data </w:t>
      </w:r>
      <w:r w:rsidR="006D617B">
        <w:rPr>
          <w:rFonts w:asciiTheme="majorHAnsi" w:hAnsiTheme="majorHAnsi"/>
          <w:b/>
          <w:lang w:val="en-US"/>
        </w:rPr>
        <w:t>of</w:t>
      </w:r>
      <w:r>
        <w:rPr>
          <w:rFonts w:asciiTheme="majorHAnsi" w:hAnsiTheme="majorHAnsi"/>
          <w:b/>
          <w:lang w:val="en-US"/>
        </w:rPr>
        <w:t xml:space="preserve"> </w:t>
      </w:r>
      <w:r w:rsidR="001A0534">
        <w:rPr>
          <w:rFonts w:asciiTheme="majorHAnsi" w:hAnsiTheme="majorHAnsi"/>
          <w:b/>
          <w:lang w:val="en-US"/>
        </w:rPr>
        <w:t xml:space="preserve">appropriate </w:t>
      </w:r>
      <w:r w:rsidR="002261E3">
        <w:rPr>
          <w:rFonts w:asciiTheme="majorHAnsi" w:hAnsiTheme="majorHAnsi"/>
          <w:b/>
          <w:lang w:val="en-US"/>
        </w:rPr>
        <w:t>pivotal studies</w:t>
      </w:r>
      <w:r w:rsidR="006D617B">
        <w:rPr>
          <w:rFonts w:asciiTheme="majorHAnsi" w:hAnsiTheme="majorHAnsi"/>
          <w:b/>
          <w:lang w:val="en-US"/>
        </w:rPr>
        <w:t>.</w:t>
      </w:r>
    </w:p>
    <w:p w14:paraId="50E477DC" w14:textId="77777777" w:rsidR="00565F17" w:rsidRPr="00BE26CC" w:rsidRDefault="00565F17" w:rsidP="00C250F9">
      <w:pPr>
        <w:jc w:val="center"/>
        <w:rPr>
          <w:rFonts w:asciiTheme="majorHAnsi" w:hAnsiTheme="majorHAnsi"/>
          <w:b/>
          <w:lang w:val="en-US"/>
        </w:rPr>
      </w:pPr>
    </w:p>
    <w:p w14:paraId="2A9938CA" w14:textId="77777777" w:rsidR="00783305" w:rsidRPr="00BE26CC" w:rsidRDefault="00783305">
      <w:pPr>
        <w:rPr>
          <w:rFonts w:asciiTheme="majorHAnsi" w:hAnsiTheme="majorHAnsi"/>
          <w:lang w:val="en-US"/>
        </w:rPr>
      </w:pPr>
    </w:p>
    <w:p w14:paraId="53247379" w14:textId="17861AFC" w:rsidR="00416555" w:rsidRPr="005F06BA" w:rsidRDefault="005F06BA" w:rsidP="0078330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Rainer Lipp</w:t>
      </w:r>
      <w:r w:rsidR="00AF2A07" w:rsidRPr="00AF2A07">
        <w:rPr>
          <w:rFonts w:asciiTheme="majorHAnsi" w:hAnsiTheme="majorHAnsi"/>
          <w:b/>
          <w:bCs/>
          <w:vertAlign w:val="superscript"/>
        </w:rPr>
        <w:t>1</w:t>
      </w:r>
      <w:r w:rsidR="00BE26CC">
        <w:rPr>
          <w:rFonts w:asciiTheme="majorHAnsi" w:hAnsiTheme="majorHAnsi"/>
          <w:b/>
          <w:bCs/>
          <w:vertAlign w:val="superscript"/>
        </w:rPr>
        <w:t xml:space="preserve"> </w:t>
      </w:r>
      <w:r w:rsidR="00D22EC5">
        <w:rPr>
          <w:rFonts w:asciiTheme="majorHAnsi" w:hAnsiTheme="majorHAnsi"/>
          <w:b/>
          <w:bCs/>
          <w:vertAlign w:val="superscript"/>
        </w:rPr>
        <w:t>3</w:t>
      </w:r>
      <w:r>
        <w:rPr>
          <w:rFonts w:asciiTheme="majorHAnsi" w:hAnsiTheme="majorHAnsi"/>
          <w:b/>
        </w:rPr>
        <w:t xml:space="preserve">, </w:t>
      </w:r>
      <w:r w:rsidR="004160CB">
        <w:rPr>
          <w:rFonts w:asciiTheme="majorHAnsi" w:hAnsiTheme="majorHAnsi"/>
          <w:b/>
        </w:rPr>
        <w:t>Anna Eisen</w:t>
      </w:r>
      <w:r w:rsidR="004160CB">
        <w:rPr>
          <w:rFonts w:asciiTheme="majorHAnsi" w:hAnsiTheme="majorHAnsi"/>
          <w:b/>
          <w:bCs/>
          <w:vertAlign w:val="superscript"/>
        </w:rPr>
        <w:t>1</w:t>
      </w:r>
      <w:r w:rsidR="004160CB">
        <w:rPr>
          <w:rFonts w:asciiTheme="majorHAnsi" w:hAnsiTheme="majorHAnsi"/>
          <w:b/>
        </w:rPr>
        <w:t xml:space="preserve">, </w:t>
      </w:r>
      <w:r>
        <w:rPr>
          <w:rFonts w:asciiTheme="majorHAnsi" w:hAnsiTheme="majorHAnsi"/>
          <w:b/>
        </w:rPr>
        <w:t>Peter Brecht</w:t>
      </w:r>
      <w:r w:rsidR="00725FF9">
        <w:rPr>
          <w:rFonts w:asciiTheme="majorHAnsi" w:hAnsiTheme="majorHAnsi"/>
          <w:b/>
          <w:bCs/>
          <w:vertAlign w:val="superscript"/>
        </w:rPr>
        <w:t>1</w:t>
      </w:r>
      <w:r>
        <w:rPr>
          <w:rFonts w:asciiTheme="majorHAnsi" w:hAnsiTheme="majorHAnsi"/>
          <w:b/>
          <w:bCs/>
        </w:rPr>
        <w:t xml:space="preserve">, </w:t>
      </w:r>
      <w:r w:rsidR="00D22EC5">
        <w:rPr>
          <w:rFonts w:asciiTheme="majorHAnsi" w:hAnsiTheme="majorHAnsi"/>
          <w:b/>
          <w:bCs/>
        </w:rPr>
        <w:t>S. Schmitz</w:t>
      </w:r>
      <w:r w:rsidR="00D22EC5">
        <w:rPr>
          <w:rFonts w:asciiTheme="majorHAnsi" w:hAnsiTheme="majorHAnsi"/>
          <w:b/>
          <w:bCs/>
          <w:vertAlign w:val="superscript"/>
        </w:rPr>
        <w:t>2</w:t>
      </w:r>
      <w:r w:rsidR="001A0534">
        <w:rPr>
          <w:rFonts w:asciiTheme="majorHAnsi" w:hAnsiTheme="majorHAnsi"/>
          <w:b/>
          <w:bCs/>
        </w:rPr>
        <w:t xml:space="preserve">, </w:t>
      </w:r>
      <w:r w:rsidR="00BE26CC">
        <w:rPr>
          <w:rFonts w:asciiTheme="majorHAnsi" w:hAnsiTheme="majorHAnsi"/>
          <w:b/>
          <w:bCs/>
        </w:rPr>
        <w:t>Oliver Tamimi</w:t>
      </w:r>
      <w:r w:rsidR="00D22EC5">
        <w:rPr>
          <w:rFonts w:asciiTheme="majorHAnsi" w:hAnsiTheme="majorHAnsi"/>
          <w:b/>
          <w:bCs/>
          <w:vertAlign w:val="superscript"/>
        </w:rPr>
        <w:t>3</w:t>
      </w:r>
      <w:r w:rsidR="001A0534" w:rsidRPr="001A0534">
        <w:rPr>
          <w:rFonts w:asciiTheme="majorHAnsi" w:hAnsiTheme="majorHAnsi"/>
          <w:b/>
          <w:bCs/>
        </w:rPr>
        <w:t xml:space="preserve"> </w:t>
      </w:r>
    </w:p>
    <w:p w14:paraId="7E37DF48" w14:textId="77777777" w:rsidR="00914898" w:rsidRPr="00914898" w:rsidRDefault="00914898" w:rsidP="0077628D">
      <w:pPr>
        <w:jc w:val="center"/>
        <w:rPr>
          <w:rFonts w:asciiTheme="majorHAnsi" w:hAnsiTheme="majorHAnsi"/>
          <w:b/>
          <w:bCs/>
          <w:sz w:val="16"/>
          <w:szCs w:val="16"/>
          <w:vertAlign w:val="superscript"/>
        </w:rPr>
      </w:pPr>
    </w:p>
    <w:p w14:paraId="386EDDD9" w14:textId="30AD77D0" w:rsidR="00416555" w:rsidRDefault="00AF2A07" w:rsidP="0077628D">
      <w:pPr>
        <w:jc w:val="center"/>
        <w:rPr>
          <w:rFonts w:asciiTheme="majorHAnsi" w:hAnsiTheme="majorHAnsi"/>
          <w:sz w:val="20"/>
          <w:szCs w:val="20"/>
        </w:rPr>
      </w:pPr>
      <w:r w:rsidRPr="005F06BA">
        <w:rPr>
          <w:rFonts w:asciiTheme="majorHAnsi" w:hAnsiTheme="majorHAnsi"/>
          <w:b/>
          <w:bCs/>
          <w:sz w:val="20"/>
          <w:szCs w:val="20"/>
          <w:vertAlign w:val="superscript"/>
        </w:rPr>
        <w:t>1</w:t>
      </w:r>
      <w:r w:rsidR="0077628D" w:rsidRPr="005F06BA">
        <w:rPr>
          <w:rFonts w:asciiTheme="majorHAnsi" w:hAnsiTheme="majorHAnsi"/>
          <w:b/>
          <w:bCs/>
          <w:sz w:val="20"/>
          <w:szCs w:val="20"/>
          <w:vertAlign w:val="superscript"/>
        </w:rPr>
        <w:t xml:space="preserve"> </w:t>
      </w:r>
      <w:r w:rsidR="00ED3551" w:rsidRPr="005F06BA">
        <w:rPr>
          <w:rFonts w:asciiTheme="majorHAnsi" w:hAnsiTheme="majorHAnsi"/>
          <w:sz w:val="20"/>
          <w:szCs w:val="20"/>
        </w:rPr>
        <w:t>German</w:t>
      </w:r>
      <w:r w:rsidR="0077628D" w:rsidRPr="005F06BA">
        <w:rPr>
          <w:rFonts w:asciiTheme="majorHAnsi" w:hAnsiTheme="majorHAnsi"/>
          <w:sz w:val="20"/>
          <w:szCs w:val="20"/>
        </w:rPr>
        <w:t>Oncology</w:t>
      </w:r>
      <w:r w:rsidR="00ED3551" w:rsidRPr="005F06BA">
        <w:rPr>
          <w:rFonts w:asciiTheme="majorHAnsi" w:hAnsiTheme="majorHAnsi"/>
          <w:sz w:val="20"/>
          <w:szCs w:val="20"/>
        </w:rPr>
        <w:t xml:space="preserve"> GmbH</w:t>
      </w:r>
      <w:r w:rsidR="0077628D" w:rsidRPr="005F06BA">
        <w:rPr>
          <w:rFonts w:asciiTheme="majorHAnsi" w:hAnsiTheme="majorHAnsi"/>
          <w:sz w:val="20"/>
          <w:szCs w:val="20"/>
        </w:rPr>
        <w:t xml:space="preserve">, </w:t>
      </w:r>
      <w:r w:rsidR="0077628D" w:rsidRPr="00BE26CC">
        <w:rPr>
          <w:rFonts w:asciiTheme="majorHAnsi" w:hAnsiTheme="majorHAnsi"/>
          <w:sz w:val="20"/>
          <w:szCs w:val="20"/>
        </w:rPr>
        <w:t>Überseeallee 1, 20457 Hamburg</w:t>
      </w:r>
    </w:p>
    <w:p w14:paraId="09DA24AF" w14:textId="76C6B2D1" w:rsidR="00D22EC5" w:rsidRPr="00BE26CC" w:rsidRDefault="00D22EC5" w:rsidP="0077628D">
      <w:pPr>
        <w:jc w:val="center"/>
        <w:rPr>
          <w:rFonts w:asciiTheme="majorHAnsi" w:hAnsiTheme="majorHAnsi"/>
          <w:sz w:val="20"/>
          <w:szCs w:val="20"/>
        </w:rPr>
      </w:pPr>
      <w:r w:rsidRPr="00D22EC5">
        <w:rPr>
          <w:rFonts w:asciiTheme="majorHAnsi" w:hAnsiTheme="majorHAnsi"/>
          <w:sz w:val="20"/>
          <w:szCs w:val="20"/>
          <w:vertAlign w:val="superscript"/>
        </w:rPr>
        <w:t>2</w:t>
      </w:r>
      <w:r>
        <w:rPr>
          <w:rFonts w:asciiTheme="majorHAnsi" w:hAnsiTheme="majorHAnsi"/>
          <w:sz w:val="20"/>
          <w:szCs w:val="20"/>
        </w:rPr>
        <w:t>MV-Zentrum für Hämatologie und Onkologie, Am Sachsenring 69, 50677 Köln</w:t>
      </w:r>
    </w:p>
    <w:p w14:paraId="715BACFF" w14:textId="5D556CA9" w:rsidR="000204DE" w:rsidRPr="00AD0136" w:rsidRDefault="00D22EC5" w:rsidP="000204DE">
      <w:pPr>
        <w:jc w:val="center"/>
        <w:rPr>
          <w:rFonts w:asciiTheme="majorHAnsi" w:hAnsiTheme="majorHAnsi"/>
          <w:sz w:val="20"/>
          <w:szCs w:val="20"/>
          <w:lang w:val="en-US"/>
        </w:rPr>
      </w:pPr>
      <w:r w:rsidRPr="00AD0136">
        <w:rPr>
          <w:rFonts w:asciiTheme="majorHAnsi" w:hAnsiTheme="majorHAnsi"/>
          <w:sz w:val="20"/>
          <w:szCs w:val="20"/>
          <w:vertAlign w:val="superscript"/>
          <w:lang w:val="en-US"/>
        </w:rPr>
        <w:t>3</w:t>
      </w:r>
      <w:r w:rsidR="000204DE" w:rsidRPr="00AD0136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BE26CC" w:rsidRPr="00AD0136">
        <w:rPr>
          <w:rFonts w:asciiTheme="majorHAnsi" w:hAnsiTheme="majorHAnsi"/>
          <w:sz w:val="20"/>
          <w:szCs w:val="20"/>
          <w:lang w:val="en-US"/>
        </w:rPr>
        <w:t>Stiftung Deutsche Onkologie, Feringastr.6, 83774 Unterföhring</w:t>
      </w:r>
    </w:p>
    <w:p w14:paraId="74F37A3C" w14:textId="77777777" w:rsidR="005F06BA" w:rsidRPr="00AD0136" w:rsidRDefault="005F06BA" w:rsidP="0077628D">
      <w:pPr>
        <w:jc w:val="center"/>
        <w:rPr>
          <w:rFonts w:asciiTheme="majorHAnsi" w:hAnsiTheme="majorHAnsi"/>
          <w:sz w:val="20"/>
          <w:szCs w:val="20"/>
          <w:lang w:val="en-US"/>
        </w:rPr>
      </w:pPr>
    </w:p>
    <w:p w14:paraId="10418F19" w14:textId="77777777" w:rsidR="00783305" w:rsidRPr="00AD0136" w:rsidRDefault="00783305">
      <w:pPr>
        <w:rPr>
          <w:rFonts w:asciiTheme="majorHAnsi" w:hAnsiTheme="majorHAnsi"/>
          <w:sz w:val="16"/>
          <w:szCs w:val="16"/>
          <w:lang w:val="en-US"/>
        </w:rPr>
      </w:pPr>
    </w:p>
    <w:p w14:paraId="67CBA758" w14:textId="5DD73271" w:rsidR="00337279" w:rsidRPr="00A82ECE" w:rsidRDefault="00FD377B" w:rsidP="003520C2">
      <w:pPr>
        <w:jc w:val="both"/>
        <w:rPr>
          <w:rFonts w:asciiTheme="majorHAnsi" w:hAnsiTheme="majorHAnsi"/>
          <w:sz w:val="22"/>
          <w:lang w:val="en-US"/>
        </w:rPr>
      </w:pPr>
      <w:r w:rsidRPr="00BE26CC">
        <w:rPr>
          <w:rFonts w:asciiTheme="majorHAnsi" w:hAnsiTheme="majorHAnsi"/>
          <w:b/>
          <w:sz w:val="22"/>
          <w:u w:val="single"/>
          <w:lang w:val="en-US"/>
        </w:rPr>
        <w:t>Introduction</w:t>
      </w:r>
      <w:r w:rsidR="00416555" w:rsidRPr="00BE26CC">
        <w:rPr>
          <w:rFonts w:asciiTheme="majorHAnsi" w:hAnsiTheme="majorHAnsi"/>
          <w:sz w:val="22"/>
          <w:lang w:val="en-US"/>
        </w:rPr>
        <w:t>:</w:t>
      </w:r>
      <w:r w:rsidR="004F68ED" w:rsidRPr="00BE26CC">
        <w:rPr>
          <w:rFonts w:asciiTheme="majorHAnsi" w:hAnsiTheme="majorHAnsi"/>
          <w:sz w:val="22"/>
          <w:lang w:val="en-US"/>
        </w:rPr>
        <w:t xml:space="preserve"> </w:t>
      </w:r>
      <w:r w:rsidR="00513511">
        <w:rPr>
          <w:rFonts w:asciiTheme="majorHAnsi" w:hAnsiTheme="majorHAnsi"/>
          <w:sz w:val="22"/>
          <w:lang w:val="en-US"/>
        </w:rPr>
        <w:t>IO therapies are one the most important innovation in the treament of patients with lung cancer in the last 30 years. At time-point of approval data availability was mostly limited to patients treated in pivotal studies. But p</w:t>
      </w:r>
      <w:r w:rsidR="002261E3">
        <w:rPr>
          <w:rFonts w:asciiTheme="majorHAnsi" w:hAnsiTheme="majorHAnsi"/>
          <w:sz w:val="22"/>
          <w:lang w:val="en-US"/>
        </w:rPr>
        <w:t xml:space="preserve">atients with </w:t>
      </w:r>
      <w:r w:rsidR="00513511">
        <w:rPr>
          <w:rFonts w:asciiTheme="majorHAnsi" w:hAnsiTheme="majorHAnsi"/>
          <w:sz w:val="22"/>
          <w:lang w:val="en-US"/>
        </w:rPr>
        <w:t>lung cancer</w:t>
      </w:r>
      <w:r w:rsidR="002261E3">
        <w:rPr>
          <w:rFonts w:asciiTheme="majorHAnsi" w:hAnsiTheme="majorHAnsi"/>
          <w:sz w:val="22"/>
          <w:lang w:val="en-US"/>
        </w:rPr>
        <w:t xml:space="preserve"> treated under real-world </w:t>
      </w:r>
      <w:r w:rsidR="00B34745">
        <w:rPr>
          <w:rFonts w:asciiTheme="majorHAnsi" w:hAnsiTheme="majorHAnsi"/>
          <w:sz w:val="22"/>
          <w:lang w:val="en-US"/>
        </w:rPr>
        <w:t>conditions</w:t>
      </w:r>
      <w:r w:rsidR="002261E3">
        <w:rPr>
          <w:rFonts w:asciiTheme="majorHAnsi" w:hAnsiTheme="majorHAnsi"/>
          <w:sz w:val="22"/>
          <w:lang w:val="en-US"/>
        </w:rPr>
        <w:t xml:space="preserve"> c</w:t>
      </w:r>
      <w:r w:rsidR="00B34745">
        <w:rPr>
          <w:rFonts w:asciiTheme="majorHAnsi" w:hAnsiTheme="majorHAnsi"/>
          <w:sz w:val="22"/>
          <w:lang w:val="en-US"/>
        </w:rPr>
        <w:t>an</w:t>
      </w:r>
      <w:r w:rsidR="002261E3">
        <w:rPr>
          <w:rFonts w:asciiTheme="majorHAnsi" w:hAnsiTheme="majorHAnsi"/>
          <w:sz w:val="22"/>
          <w:lang w:val="en-US"/>
        </w:rPr>
        <w:t xml:space="preserve"> differ in several individual parameters (e.g. age, performance status, concomittant diseases) and also in requirements of therapy guidance from patients </w:t>
      </w:r>
      <w:r w:rsidR="00B34745">
        <w:rPr>
          <w:rFonts w:asciiTheme="majorHAnsi" w:hAnsiTheme="majorHAnsi"/>
          <w:sz w:val="22"/>
          <w:lang w:val="en-US"/>
        </w:rPr>
        <w:t xml:space="preserve">treated </w:t>
      </w:r>
      <w:r w:rsidR="002261E3">
        <w:rPr>
          <w:rFonts w:asciiTheme="majorHAnsi" w:hAnsiTheme="majorHAnsi"/>
          <w:sz w:val="22"/>
          <w:lang w:val="en-US"/>
        </w:rPr>
        <w:t>in pivotal studies</w:t>
      </w:r>
      <w:r w:rsidR="00513511">
        <w:rPr>
          <w:rFonts w:asciiTheme="majorHAnsi" w:hAnsiTheme="majorHAnsi"/>
          <w:sz w:val="22"/>
          <w:lang w:val="en-US"/>
        </w:rPr>
        <w:t>, so that the data from pivotal studies could not transfer to all patients under real world conditions automatically</w:t>
      </w:r>
      <w:r w:rsidR="009B5D8C" w:rsidRPr="00BE26CC">
        <w:rPr>
          <w:rFonts w:asciiTheme="majorHAnsi" w:hAnsiTheme="majorHAnsi"/>
          <w:sz w:val="22"/>
          <w:lang w:val="en-US"/>
        </w:rPr>
        <w:t>.</w:t>
      </w:r>
      <w:r w:rsidR="002261E3">
        <w:rPr>
          <w:rFonts w:asciiTheme="majorHAnsi" w:hAnsiTheme="majorHAnsi"/>
          <w:sz w:val="22"/>
          <w:lang w:val="en-US"/>
        </w:rPr>
        <w:t xml:space="preserve"> </w:t>
      </w:r>
      <w:r w:rsidR="00B34745">
        <w:rPr>
          <w:rFonts w:asciiTheme="majorHAnsi" w:hAnsiTheme="majorHAnsi"/>
          <w:sz w:val="22"/>
          <w:lang w:val="en-US"/>
        </w:rPr>
        <w:t xml:space="preserve">To evaluate the </w:t>
      </w:r>
      <w:r w:rsidR="00513511">
        <w:rPr>
          <w:rFonts w:asciiTheme="majorHAnsi" w:hAnsiTheme="majorHAnsi"/>
          <w:sz w:val="22"/>
          <w:lang w:val="en-US"/>
        </w:rPr>
        <w:t xml:space="preserve">actual </w:t>
      </w:r>
      <w:r w:rsidR="00B34745">
        <w:rPr>
          <w:rFonts w:asciiTheme="majorHAnsi" w:hAnsiTheme="majorHAnsi"/>
          <w:sz w:val="22"/>
          <w:lang w:val="en-US"/>
        </w:rPr>
        <w:t>efficacy of therapies under real-world conditions</w:t>
      </w:r>
      <w:r w:rsidR="00D22EC5">
        <w:rPr>
          <w:rFonts w:asciiTheme="majorHAnsi" w:hAnsiTheme="majorHAnsi"/>
          <w:sz w:val="22"/>
          <w:lang w:val="en-US"/>
        </w:rPr>
        <w:t>,</w:t>
      </w:r>
      <w:r w:rsidR="00B34745">
        <w:rPr>
          <w:rFonts w:asciiTheme="majorHAnsi" w:hAnsiTheme="majorHAnsi"/>
          <w:sz w:val="22"/>
          <w:lang w:val="en-US"/>
        </w:rPr>
        <w:t xml:space="preserve"> PFS of IO therapies from patients </w:t>
      </w:r>
      <w:r w:rsidR="00513511">
        <w:rPr>
          <w:rFonts w:asciiTheme="majorHAnsi" w:hAnsiTheme="majorHAnsi"/>
          <w:sz w:val="22"/>
          <w:lang w:val="en-US"/>
        </w:rPr>
        <w:t xml:space="preserve">with lung cancer </w:t>
      </w:r>
      <w:r w:rsidR="00B34745">
        <w:rPr>
          <w:rFonts w:asciiTheme="majorHAnsi" w:hAnsiTheme="majorHAnsi"/>
          <w:sz w:val="22"/>
          <w:lang w:val="en-US"/>
        </w:rPr>
        <w:t xml:space="preserve">in oncological practices </w:t>
      </w:r>
      <w:r w:rsidR="00D22EC5">
        <w:rPr>
          <w:rFonts w:asciiTheme="majorHAnsi" w:hAnsiTheme="majorHAnsi"/>
          <w:sz w:val="22"/>
          <w:lang w:val="en-US"/>
        </w:rPr>
        <w:t>we</w:t>
      </w:r>
      <w:r w:rsidR="00B34745">
        <w:rPr>
          <w:rFonts w:asciiTheme="majorHAnsi" w:hAnsiTheme="majorHAnsi"/>
          <w:sz w:val="22"/>
          <w:lang w:val="en-US"/>
        </w:rPr>
        <w:t xml:space="preserve">re compared with data of </w:t>
      </w:r>
      <w:r w:rsidR="001A0534">
        <w:rPr>
          <w:rFonts w:asciiTheme="majorHAnsi" w:hAnsiTheme="majorHAnsi"/>
          <w:sz w:val="22"/>
          <w:lang w:val="en-US"/>
        </w:rPr>
        <w:t>appropriate</w:t>
      </w:r>
      <w:r w:rsidR="00B34745">
        <w:rPr>
          <w:rFonts w:asciiTheme="majorHAnsi" w:hAnsiTheme="majorHAnsi"/>
          <w:sz w:val="22"/>
          <w:lang w:val="en-US"/>
        </w:rPr>
        <w:t xml:space="preserve"> pivotal studies. </w:t>
      </w:r>
      <w:r w:rsidR="009B5D8C" w:rsidRPr="00BE26CC">
        <w:rPr>
          <w:rFonts w:asciiTheme="majorHAnsi" w:hAnsiTheme="majorHAnsi"/>
          <w:b/>
          <w:sz w:val="22"/>
          <w:u w:val="single"/>
          <w:lang w:val="en-US"/>
        </w:rPr>
        <w:t>Methods</w:t>
      </w:r>
      <w:r w:rsidR="00C250F9" w:rsidRPr="00BE26CC">
        <w:rPr>
          <w:rFonts w:asciiTheme="majorHAnsi" w:hAnsiTheme="majorHAnsi"/>
          <w:sz w:val="22"/>
          <w:lang w:val="en-US"/>
        </w:rPr>
        <w:t>:</w:t>
      </w:r>
      <w:r w:rsidR="004F68ED" w:rsidRPr="00BE26CC">
        <w:rPr>
          <w:rFonts w:asciiTheme="majorHAnsi" w:hAnsiTheme="majorHAnsi"/>
          <w:sz w:val="22"/>
          <w:lang w:val="en-US"/>
        </w:rPr>
        <w:t xml:space="preserve"> From</w:t>
      </w:r>
      <w:r w:rsidR="00D644F1">
        <w:rPr>
          <w:rFonts w:asciiTheme="majorHAnsi" w:hAnsiTheme="majorHAnsi"/>
          <w:sz w:val="22"/>
          <w:lang w:val="en-US"/>
        </w:rPr>
        <w:t xml:space="preserve"> 01/2017 – 04/2021 </w:t>
      </w:r>
      <w:r w:rsidR="00FC0FF4">
        <w:rPr>
          <w:rFonts w:asciiTheme="majorHAnsi" w:hAnsiTheme="majorHAnsi"/>
          <w:sz w:val="22"/>
          <w:lang w:val="en-US"/>
        </w:rPr>
        <w:t xml:space="preserve">longitudinal </w:t>
      </w:r>
      <w:r w:rsidR="00D644F1">
        <w:rPr>
          <w:rFonts w:asciiTheme="majorHAnsi" w:hAnsiTheme="majorHAnsi"/>
          <w:sz w:val="22"/>
          <w:lang w:val="en-US"/>
        </w:rPr>
        <w:t xml:space="preserve">data of patients treated with Pembrolizumab (n=235) </w:t>
      </w:r>
      <w:r w:rsidR="005A30B8">
        <w:rPr>
          <w:rFonts w:asciiTheme="majorHAnsi" w:hAnsiTheme="majorHAnsi"/>
          <w:sz w:val="22"/>
          <w:lang w:val="en-US"/>
        </w:rPr>
        <w:t>in 1°line NSCL</w:t>
      </w:r>
      <w:r w:rsidR="00D22EC5">
        <w:rPr>
          <w:rFonts w:asciiTheme="majorHAnsi" w:hAnsiTheme="majorHAnsi"/>
          <w:sz w:val="22"/>
          <w:lang w:val="en-US"/>
        </w:rPr>
        <w:t xml:space="preserve">C, </w:t>
      </w:r>
      <w:r w:rsidR="00D644F1">
        <w:rPr>
          <w:rFonts w:asciiTheme="majorHAnsi" w:hAnsiTheme="majorHAnsi"/>
          <w:sz w:val="22"/>
          <w:lang w:val="en-US"/>
        </w:rPr>
        <w:t xml:space="preserve">Nivolumab (n=107) in </w:t>
      </w:r>
      <w:r w:rsidR="005A30B8">
        <w:rPr>
          <w:rFonts w:asciiTheme="majorHAnsi" w:hAnsiTheme="majorHAnsi"/>
          <w:sz w:val="22"/>
          <w:lang w:val="en-US"/>
        </w:rPr>
        <w:t xml:space="preserve">2°line </w:t>
      </w:r>
      <w:r w:rsidR="00D644F1">
        <w:rPr>
          <w:rFonts w:asciiTheme="majorHAnsi" w:hAnsiTheme="majorHAnsi"/>
          <w:sz w:val="22"/>
          <w:lang w:val="en-US"/>
        </w:rPr>
        <w:t xml:space="preserve">NSCLC and Atezolizumab (n=49) in </w:t>
      </w:r>
      <w:r w:rsidR="005A30B8">
        <w:rPr>
          <w:rFonts w:asciiTheme="majorHAnsi" w:hAnsiTheme="majorHAnsi"/>
          <w:sz w:val="22"/>
          <w:lang w:val="en-US"/>
        </w:rPr>
        <w:t xml:space="preserve">1°line </w:t>
      </w:r>
      <w:r w:rsidR="00D644F1">
        <w:rPr>
          <w:rFonts w:asciiTheme="majorHAnsi" w:hAnsiTheme="majorHAnsi"/>
          <w:sz w:val="22"/>
          <w:lang w:val="en-US"/>
        </w:rPr>
        <w:t>SCLC were collected by n = 25 oncological practices within a</w:t>
      </w:r>
      <w:r w:rsidR="005A30B8">
        <w:rPr>
          <w:rFonts w:asciiTheme="majorHAnsi" w:hAnsiTheme="majorHAnsi"/>
          <w:sz w:val="22"/>
          <w:lang w:val="en-US"/>
        </w:rPr>
        <w:t xml:space="preserve"> continious</w:t>
      </w:r>
      <w:r w:rsidR="00D22EC5">
        <w:rPr>
          <w:rFonts w:asciiTheme="majorHAnsi" w:hAnsiTheme="majorHAnsi"/>
          <w:sz w:val="22"/>
          <w:lang w:val="en-US"/>
        </w:rPr>
        <w:t>ly</w:t>
      </w:r>
      <w:r w:rsidR="005A30B8">
        <w:rPr>
          <w:rFonts w:asciiTheme="majorHAnsi" w:hAnsiTheme="majorHAnsi"/>
          <w:sz w:val="22"/>
          <w:lang w:val="en-US"/>
        </w:rPr>
        <w:t xml:space="preserve"> running data project </w:t>
      </w:r>
      <w:r w:rsidR="00D644F1">
        <w:rPr>
          <w:rFonts w:asciiTheme="majorHAnsi" w:hAnsiTheme="majorHAnsi"/>
          <w:sz w:val="22"/>
          <w:lang w:val="en-US"/>
        </w:rPr>
        <w:t>of the “Stiftung Deutsche Onkologie”</w:t>
      </w:r>
      <w:r w:rsidR="000204DE" w:rsidRPr="00BE26CC">
        <w:rPr>
          <w:rFonts w:asciiTheme="majorHAnsi" w:hAnsiTheme="majorHAnsi"/>
          <w:sz w:val="22"/>
          <w:lang w:val="en-US"/>
        </w:rPr>
        <w:t>.</w:t>
      </w:r>
      <w:r w:rsidR="00D644F1">
        <w:rPr>
          <w:rFonts w:asciiTheme="majorHAnsi" w:hAnsiTheme="majorHAnsi"/>
          <w:sz w:val="22"/>
          <w:lang w:val="en-US"/>
        </w:rPr>
        <w:t xml:space="preserve"> </w:t>
      </w:r>
      <w:r w:rsidR="00D22EC5">
        <w:rPr>
          <w:rFonts w:asciiTheme="majorHAnsi" w:hAnsiTheme="majorHAnsi"/>
          <w:sz w:val="22"/>
          <w:lang w:val="en-US"/>
        </w:rPr>
        <w:t>For evaluation of efficacies d</w:t>
      </w:r>
      <w:r w:rsidR="00FC0FF4">
        <w:rPr>
          <w:rFonts w:asciiTheme="majorHAnsi" w:hAnsiTheme="majorHAnsi"/>
          <w:sz w:val="22"/>
          <w:lang w:val="en-US"/>
        </w:rPr>
        <w:t xml:space="preserve">ata and curves for PFS of these patients were compared with data and curves of the pivotal studies </w:t>
      </w:r>
      <w:r w:rsidR="005A30B8">
        <w:rPr>
          <w:rFonts w:asciiTheme="majorHAnsi" w:hAnsiTheme="majorHAnsi"/>
          <w:sz w:val="22"/>
          <w:lang w:val="en-US"/>
        </w:rPr>
        <w:t xml:space="preserve">for the IO drugs </w:t>
      </w:r>
      <w:r w:rsidR="00FC0FF4">
        <w:rPr>
          <w:rFonts w:asciiTheme="majorHAnsi" w:hAnsiTheme="majorHAnsi"/>
          <w:sz w:val="22"/>
          <w:lang w:val="en-US"/>
        </w:rPr>
        <w:t>in the related indications.</w:t>
      </w:r>
      <w:r w:rsidR="003520C2" w:rsidRPr="00BE26CC">
        <w:rPr>
          <w:rFonts w:asciiTheme="majorHAnsi" w:hAnsiTheme="majorHAnsi"/>
          <w:sz w:val="22"/>
          <w:lang w:val="en-US"/>
        </w:rPr>
        <w:t xml:space="preserve"> </w:t>
      </w:r>
      <w:r w:rsidR="006F2E23" w:rsidRPr="00BE26CC">
        <w:rPr>
          <w:rFonts w:asciiTheme="majorHAnsi" w:hAnsiTheme="majorHAnsi"/>
          <w:b/>
          <w:sz w:val="22"/>
          <w:u w:val="single"/>
          <w:lang w:val="en-US"/>
        </w:rPr>
        <w:t>Results</w:t>
      </w:r>
      <w:r w:rsidR="006F2E23" w:rsidRPr="00BE26CC">
        <w:rPr>
          <w:rFonts w:asciiTheme="majorHAnsi" w:hAnsiTheme="majorHAnsi"/>
          <w:b/>
          <w:sz w:val="22"/>
          <w:lang w:val="en-US"/>
        </w:rPr>
        <w:t>:</w:t>
      </w:r>
      <w:r w:rsidR="004F68ED" w:rsidRPr="00BE26CC">
        <w:rPr>
          <w:rFonts w:asciiTheme="majorHAnsi" w:hAnsiTheme="majorHAnsi"/>
          <w:sz w:val="22"/>
          <w:lang w:val="en-US"/>
        </w:rPr>
        <w:t xml:space="preserve"> </w:t>
      </w:r>
      <w:r w:rsidR="00036C1D">
        <w:rPr>
          <w:rFonts w:asciiTheme="majorHAnsi" w:hAnsiTheme="majorHAnsi"/>
          <w:sz w:val="22"/>
          <w:lang w:val="en-US"/>
        </w:rPr>
        <w:t xml:space="preserve">The follow-up times for IO under real-world conditions in oncological practices were 10 – 24 months (mo). For Pembrolizumab+CTX in 1°line N-PECA (n=108 pat., FU 14 mo.) median PFS in oncological practices was 10,0 mo. (compared to 9,0 mo. in Keynote-0189), for Pembrolizumab+CTX in 1°line PECA (n=18 pat., FU 10 mo.) median PFS was 7,6 mo. (8,0 mo. in Keynote-0407), for Pembrolizumab alone in 1°line NSCLC with PD-L1 </w:t>
      </w:r>
      <w:r w:rsidR="00036C1D">
        <w:rPr>
          <w:rFonts w:asciiTheme="majorHAnsi" w:hAnsiTheme="majorHAnsi"/>
          <w:sz w:val="22"/>
          <w:lang w:val="en-US"/>
        </w:rPr>
        <w:sym w:font="Symbol" w:char="F0B3"/>
      </w:r>
      <w:r w:rsidR="00036C1D">
        <w:rPr>
          <w:rFonts w:asciiTheme="majorHAnsi" w:hAnsiTheme="majorHAnsi"/>
          <w:sz w:val="22"/>
          <w:lang w:val="en-US"/>
        </w:rPr>
        <w:t xml:space="preserve">50% (n=109 pat., FU 20 mo.) median PFS was 12,1 mo. (10,3 mo. in Keynote-024), for Nivolumab in 2°line NSCLC (n=107 pat., FU 24 mo.) median PFS was 4,8 mo. (3,5 mo. in CheckMate-017) and for Atezolizumab+CTX in 1°line SCLC ED (n=49 pat., FU 13 mo.) median PFS was 6,8 mo. (5,2 mo. in IMPower-133). </w:t>
      </w:r>
    </w:p>
    <w:p w14:paraId="09AE0B9C" w14:textId="33120F6B" w:rsidR="00B504B2" w:rsidRPr="00BE26CC" w:rsidRDefault="00F73344" w:rsidP="003520C2">
      <w:pPr>
        <w:jc w:val="both"/>
        <w:rPr>
          <w:rFonts w:asciiTheme="majorHAnsi" w:hAnsiTheme="majorHAnsi"/>
          <w:sz w:val="22"/>
          <w:lang w:val="en-US"/>
        </w:rPr>
      </w:pPr>
      <w:r w:rsidRPr="00BE26CC">
        <w:rPr>
          <w:rFonts w:asciiTheme="majorHAnsi" w:hAnsiTheme="majorHAnsi"/>
          <w:b/>
          <w:sz w:val="22"/>
          <w:u w:val="single"/>
          <w:lang w:val="en-US"/>
        </w:rPr>
        <w:t>Conclusion</w:t>
      </w:r>
      <w:r w:rsidR="00B504B2" w:rsidRPr="00BE26CC">
        <w:rPr>
          <w:rFonts w:asciiTheme="majorHAnsi" w:hAnsiTheme="majorHAnsi"/>
          <w:b/>
          <w:sz w:val="22"/>
          <w:u w:val="single"/>
          <w:lang w:val="en-US"/>
        </w:rPr>
        <w:t>s</w:t>
      </w:r>
      <w:r w:rsidRPr="00BE26CC">
        <w:rPr>
          <w:rFonts w:asciiTheme="majorHAnsi" w:hAnsiTheme="majorHAnsi"/>
          <w:b/>
          <w:sz w:val="22"/>
          <w:lang w:val="en-US"/>
        </w:rPr>
        <w:t>:</w:t>
      </w:r>
      <w:r w:rsidR="004F68ED" w:rsidRPr="00BE26CC">
        <w:rPr>
          <w:rFonts w:asciiTheme="majorHAnsi" w:hAnsiTheme="majorHAnsi"/>
          <w:sz w:val="22"/>
          <w:lang w:val="en-US"/>
        </w:rPr>
        <w:t xml:space="preserve"> </w:t>
      </w:r>
      <w:r w:rsidR="005A30B8">
        <w:rPr>
          <w:rFonts w:asciiTheme="majorHAnsi" w:hAnsiTheme="majorHAnsi"/>
          <w:sz w:val="22"/>
          <w:lang w:val="en-US"/>
        </w:rPr>
        <w:t xml:space="preserve">Despite the lower number of patients, but with </w:t>
      </w:r>
      <w:r w:rsidR="00AD0136">
        <w:rPr>
          <w:rFonts w:asciiTheme="majorHAnsi" w:hAnsiTheme="majorHAnsi"/>
          <w:sz w:val="22"/>
          <w:lang w:val="en-US"/>
        </w:rPr>
        <w:t xml:space="preserve">mostly </w:t>
      </w:r>
      <w:r w:rsidR="005A30B8">
        <w:rPr>
          <w:rFonts w:asciiTheme="majorHAnsi" w:hAnsiTheme="majorHAnsi"/>
          <w:sz w:val="22"/>
          <w:lang w:val="en-US"/>
        </w:rPr>
        <w:t xml:space="preserve">comparable </w:t>
      </w:r>
      <w:r w:rsidR="00EF0A41">
        <w:rPr>
          <w:rFonts w:asciiTheme="majorHAnsi" w:hAnsiTheme="majorHAnsi"/>
          <w:sz w:val="22"/>
          <w:lang w:val="en-US"/>
        </w:rPr>
        <w:t>f</w:t>
      </w:r>
      <w:r w:rsidR="005A30B8">
        <w:rPr>
          <w:rFonts w:asciiTheme="majorHAnsi" w:hAnsiTheme="majorHAnsi"/>
          <w:sz w:val="22"/>
          <w:lang w:val="en-US"/>
        </w:rPr>
        <w:t>ollow-</w:t>
      </w:r>
      <w:r w:rsidR="00EF0A41">
        <w:rPr>
          <w:rFonts w:asciiTheme="majorHAnsi" w:hAnsiTheme="majorHAnsi"/>
          <w:sz w:val="22"/>
          <w:lang w:val="en-US"/>
        </w:rPr>
        <w:t>u</w:t>
      </w:r>
      <w:r w:rsidR="005A30B8">
        <w:rPr>
          <w:rFonts w:asciiTheme="majorHAnsi" w:hAnsiTheme="majorHAnsi"/>
          <w:sz w:val="22"/>
          <w:lang w:val="en-US"/>
        </w:rPr>
        <w:t>p times we found at least comparable or sometimes better PFS values for patients treated with IO in lung cancer under real-world conditions.</w:t>
      </w:r>
      <w:r w:rsidR="00EF0A41">
        <w:rPr>
          <w:rFonts w:asciiTheme="majorHAnsi" w:hAnsiTheme="majorHAnsi"/>
          <w:sz w:val="22"/>
          <w:lang w:val="en-US"/>
        </w:rPr>
        <w:t xml:space="preserve"> Although patients are mostly older (in average + 5-7 years</w:t>
      </w:r>
      <w:r w:rsidR="00C06852">
        <w:rPr>
          <w:rFonts w:asciiTheme="majorHAnsi" w:hAnsiTheme="majorHAnsi"/>
          <w:sz w:val="22"/>
          <w:lang w:val="en-US"/>
        </w:rPr>
        <w:t xml:space="preserve"> at start of therapy</w:t>
      </w:r>
      <w:r w:rsidR="00EF0A41">
        <w:rPr>
          <w:rFonts w:asciiTheme="majorHAnsi" w:hAnsiTheme="majorHAnsi"/>
          <w:sz w:val="22"/>
          <w:lang w:val="en-US"/>
        </w:rPr>
        <w:t xml:space="preserve">) compared to </w:t>
      </w:r>
      <w:r w:rsidR="00C06852">
        <w:rPr>
          <w:rFonts w:asciiTheme="majorHAnsi" w:hAnsiTheme="majorHAnsi"/>
          <w:sz w:val="22"/>
          <w:lang w:val="en-US"/>
        </w:rPr>
        <w:t xml:space="preserve">patients in the related </w:t>
      </w:r>
      <w:r w:rsidR="00EF0A41">
        <w:rPr>
          <w:rFonts w:asciiTheme="majorHAnsi" w:hAnsiTheme="majorHAnsi"/>
          <w:sz w:val="22"/>
          <w:lang w:val="en-US"/>
        </w:rPr>
        <w:t xml:space="preserve">pivotal studies, IO therapies </w:t>
      </w:r>
      <w:r w:rsidR="007A19FA">
        <w:rPr>
          <w:rFonts w:asciiTheme="majorHAnsi" w:hAnsiTheme="majorHAnsi"/>
          <w:sz w:val="22"/>
          <w:lang w:val="en-US"/>
        </w:rPr>
        <w:t xml:space="preserve">are </w:t>
      </w:r>
      <w:r w:rsidR="00EF0A41">
        <w:rPr>
          <w:rFonts w:asciiTheme="majorHAnsi" w:hAnsiTheme="majorHAnsi"/>
          <w:sz w:val="22"/>
          <w:lang w:val="en-US"/>
        </w:rPr>
        <w:t>run</w:t>
      </w:r>
      <w:r w:rsidR="007A19FA">
        <w:rPr>
          <w:rFonts w:asciiTheme="majorHAnsi" w:hAnsiTheme="majorHAnsi"/>
          <w:sz w:val="22"/>
          <w:lang w:val="en-US"/>
        </w:rPr>
        <w:t>ning</w:t>
      </w:r>
      <w:r w:rsidR="00EF0A41">
        <w:rPr>
          <w:rFonts w:asciiTheme="majorHAnsi" w:hAnsiTheme="majorHAnsi"/>
          <w:sz w:val="22"/>
          <w:lang w:val="en-US"/>
        </w:rPr>
        <w:t xml:space="preserve"> very well in oncological practices.  </w:t>
      </w:r>
    </w:p>
    <w:p w14:paraId="1D02FD3B" w14:textId="77777777" w:rsidR="002610FB" w:rsidRPr="00BE26CC" w:rsidRDefault="002610FB" w:rsidP="003520C2">
      <w:pPr>
        <w:jc w:val="both"/>
        <w:rPr>
          <w:rFonts w:asciiTheme="majorHAnsi" w:hAnsiTheme="majorHAnsi"/>
          <w:sz w:val="22"/>
          <w:lang w:val="en-US"/>
        </w:rPr>
      </w:pPr>
    </w:p>
    <w:p w14:paraId="2563916A" w14:textId="6F2D8BBB" w:rsidR="002610FB" w:rsidRPr="00337279" w:rsidRDefault="002610FB" w:rsidP="003520C2">
      <w:pPr>
        <w:jc w:val="both"/>
        <w:rPr>
          <w:rFonts w:asciiTheme="majorHAnsi" w:hAnsiTheme="majorHAnsi"/>
          <w:sz w:val="22"/>
          <w:lang w:val="en-US"/>
        </w:rPr>
      </w:pPr>
    </w:p>
    <w:sectPr w:rsidR="002610FB" w:rsidRPr="00337279" w:rsidSect="0031509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555"/>
    <w:rsid w:val="00004CBB"/>
    <w:rsid w:val="00006FE5"/>
    <w:rsid w:val="000204DE"/>
    <w:rsid w:val="00034A6B"/>
    <w:rsid w:val="00036C1D"/>
    <w:rsid w:val="000528A5"/>
    <w:rsid w:val="00067F19"/>
    <w:rsid w:val="00074A36"/>
    <w:rsid w:val="00094EEE"/>
    <w:rsid w:val="000B7F23"/>
    <w:rsid w:val="000C72BE"/>
    <w:rsid w:val="000D03F5"/>
    <w:rsid w:val="000F3816"/>
    <w:rsid w:val="000F47BC"/>
    <w:rsid w:val="000F6947"/>
    <w:rsid w:val="00137576"/>
    <w:rsid w:val="001413A7"/>
    <w:rsid w:val="001A0534"/>
    <w:rsid w:val="001B3429"/>
    <w:rsid w:val="001C7EC7"/>
    <w:rsid w:val="001F27A1"/>
    <w:rsid w:val="002261E3"/>
    <w:rsid w:val="00245A6A"/>
    <w:rsid w:val="002610FB"/>
    <w:rsid w:val="00271627"/>
    <w:rsid w:val="00287F31"/>
    <w:rsid w:val="002D075A"/>
    <w:rsid w:val="002E36C2"/>
    <w:rsid w:val="002E6A54"/>
    <w:rsid w:val="00315090"/>
    <w:rsid w:val="00337279"/>
    <w:rsid w:val="003520C2"/>
    <w:rsid w:val="00364E05"/>
    <w:rsid w:val="003813C4"/>
    <w:rsid w:val="003822ED"/>
    <w:rsid w:val="003F6F8A"/>
    <w:rsid w:val="004160CB"/>
    <w:rsid w:val="00416555"/>
    <w:rsid w:val="004216C7"/>
    <w:rsid w:val="00462A2E"/>
    <w:rsid w:val="00463DD8"/>
    <w:rsid w:val="004700FF"/>
    <w:rsid w:val="004A5197"/>
    <w:rsid w:val="004C1742"/>
    <w:rsid w:val="004C5EFB"/>
    <w:rsid w:val="004E55A8"/>
    <w:rsid w:val="004F68ED"/>
    <w:rsid w:val="0050254D"/>
    <w:rsid w:val="00513511"/>
    <w:rsid w:val="00565F17"/>
    <w:rsid w:val="00577F97"/>
    <w:rsid w:val="005A30B8"/>
    <w:rsid w:val="005B1637"/>
    <w:rsid w:val="005B6892"/>
    <w:rsid w:val="005E0CA5"/>
    <w:rsid w:val="005F06BA"/>
    <w:rsid w:val="00644E03"/>
    <w:rsid w:val="00647C8C"/>
    <w:rsid w:val="00686633"/>
    <w:rsid w:val="006A04A7"/>
    <w:rsid w:val="006C1541"/>
    <w:rsid w:val="006D617B"/>
    <w:rsid w:val="006D73D1"/>
    <w:rsid w:val="006F2E23"/>
    <w:rsid w:val="00725FF9"/>
    <w:rsid w:val="00766279"/>
    <w:rsid w:val="00775A85"/>
    <w:rsid w:val="0077628D"/>
    <w:rsid w:val="007767C4"/>
    <w:rsid w:val="00783305"/>
    <w:rsid w:val="007A19FA"/>
    <w:rsid w:val="007D7482"/>
    <w:rsid w:val="008106B9"/>
    <w:rsid w:val="0081741D"/>
    <w:rsid w:val="00821DBD"/>
    <w:rsid w:val="00827A25"/>
    <w:rsid w:val="00847D2D"/>
    <w:rsid w:val="00852466"/>
    <w:rsid w:val="00860F08"/>
    <w:rsid w:val="00863E2C"/>
    <w:rsid w:val="00874EF3"/>
    <w:rsid w:val="00877EE3"/>
    <w:rsid w:val="008B5003"/>
    <w:rsid w:val="008B64B5"/>
    <w:rsid w:val="008C5AC5"/>
    <w:rsid w:val="00914898"/>
    <w:rsid w:val="00936B06"/>
    <w:rsid w:val="00936E28"/>
    <w:rsid w:val="00957D80"/>
    <w:rsid w:val="009827ED"/>
    <w:rsid w:val="009B5D8C"/>
    <w:rsid w:val="009B7A35"/>
    <w:rsid w:val="009D2953"/>
    <w:rsid w:val="009E01CC"/>
    <w:rsid w:val="00A3013E"/>
    <w:rsid w:val="00A801B9"/>
    <w:rsid w:val="00A8256C"/>
    <w:rsid w:val="00A82ECE"/>
    <w:rsid w:val="00A8342A"/>
    <w:rsid w:val="00A93210"/>
    <w:rsid w:val="00AB691D"/>
    <w:rsid w:val="00AB7915"/>
    <w:rsid w:val="00AD0136"/>
    <w:rsid w:val="00AE4806"/>
    <w:rsid w:val="00AE4CCE"/>
    <w:rsid w:val="00AF2A07"/>
    <w:rsid w:val="00B26C35"/>
    <w:rsid w:val="00B34745"/>
    <w:rsid w:val="00B40734"/>
    <w:rsid w:val="00B504B2"/>
    <w:rsid w:val="00B50DC8"/>
    <w:rsid w:val="00B5359D"/>
    <w:rsid w:val="00BB1CD2"/>
    <w:rsid w:val="00BC137A"/>
    <w:rsid w:val="00BE26CC"/>
    <w:rsid w:val="00BE774A"/>
    <w:rsid w:val="00C06852"/>
    <w:rsid w:val="00C250F9"/>
    <w:rsid w:val="00C42F1D"/>
    <w:rsid w:val="00C66B67"/>
    <w:rsid w:val="00C83992"/>
    <w:rsid w:val="00CA2CB6"/>
    <w:rsid w:val="00CB79D0"/>
    <w:rsid w:val="00CC1CDB"/>
    <w:rsid w:val="00CD2F68"/>
    <w:rsid w:val="00CE75F3"/>
    <w:rsid w:val="00D04EE4"/>
    <w:rsid w:val="00D22EC5"/>
    <w:rsid w:val="00D27CBB"/>
    <w:rsid w:val="00D644F1"/>
    <w:rsid w:val="00D725E8"/>
    <w:rsid w:val="00D745D6"/>
    <w:rsid w:val="00DE351E"/>
    <w:rsid w:val="00DE3AC7"/>
    <w:rsid w:val="00E211D5"/>
    <w:rsid w:val="00E76DB8"/>
    <w:rsid w:val="00E83FD4"/>
    <w:rsid w:val="00EA11E7"/>
    <w:rsid w:val="00EA2374"/>
    <w:rsid w:val="00EB704D"/>
    <w:rsid w:val="00EC4319"/>
    <w:rsid w:val="00ED3551"/>
    <w:rsid w:val="00ED40ED"/>
    <w:rsid w:val="00EE00AD"/>
    <w:rsid w:val="00EE3D3F"/>
    <w:rsid w:val="00EE7232"/>
    <w:rsid w:val="00EF0A41"/>
    <w:rsid w:val="00F27826"/>
    <w:rsid w:val="00F63DA3"/>
    <w:rsid w:val="00F73344"/>
    <w:rsid w:val="00F82613"/>
    <w:rsid w:val="00F97AEE"/>
    <w:rsid w:val="00FC0FF4"/>
    <w:rsid w:val="00FD377B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839BD"/>
  <w14:defaultImageDpi w14:val="300"/>
  <w15:docId w15:val="{CDA37438-E055-124D-82E7-29A19967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27826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27826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47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2497</Characters>
  <Application>Microsoft Office Word</Application>
  <DocSecurity>0</DocSecurity>
  <Lines>83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ClinSol GmbH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Adamek</dc:creator>
  <cp:keywords/>
  <dc:description/>
  <cp:lastModifiedBy>Rainer Lipp</cp:lastModifiedBy>
  <cp:revision>12</cp:revision>
  <cp:lastPrinted>2015-05-11T09:56:00Z</cp:lastPrinted>
  <dcterms:created xsi:type="dcterms:W3CDTF">2021-05-14T09:01:00Z</dcterms:created>
  <dcterms:modified xsi:type="dcterms:W3CDTF">2021-05-17T10:15:00Z</dcterms:modified>
</cp:coreProperties>
</file>